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ACD" w:rsidRDefault="00313835" w:rsidP="00D02A64">
      <w:pPr>
        <w:jc w:val="center"/>
        <w:rPr>
          <w:b/>
          <w:imprint/>
          <w:color w:val="FF0000"/>
          <w:sz w:val="72"/>
          <w:szCs w:val="72"/>
        </w:rPr>
      </w:pPr>
      <w:r w:rsidRPr="00313835">
        <w:rPr>
          <w:b/>
          <w:imprint/>
          <w:color w:val="4F81BD" w:themeColor="accent1"/>
          <w:sz w:val="72"/>
          <w:szCs w:val="72"/>
        </w:rPr>
        <w:t>L</w:t>
      </w:r>
      <w:r w:rsidRPr="00313835">
        <w:rPr>
          <w:b/>
          <w:imprint/>
          <w:color w:val="C0504D" w:themeColor="accent2"/>
          <w:sz w:val="72"/>
          <w:szCs w:val="72"/>
        </w:rPr>
        <w:t>A</w:t>
      </w:r>
      <w:r w:rsidRPr="00313835">
        <w:rPr>
          <w:b/>
          <w:imprint/>
          <w:color w:val="76923C" w:themeColor="accent3" w:themeShade="BF"/>
          <w:sz w:val="72"/>
          <w:szCs w:val="72"/>
        </w:rPr>
        <w:t xml:space="preserve"> </w:t>
      </w:r>
      <w:r w:rsidRPr="00313835">
        <w:rPr>
          <w:b/>
          <w:imprint/>
          <w:color w:val="C2D69B" w:themeColor="accent3" w:themeTint="99"/>
          <w:sz w:val="72"/>
          <w:szCs w:val="72"/>
        </w:rPr>
        <w:t>P</w:t>
      </w:r>
      <w:r w:rsidRPr="00313835">
        <w:rPr>
          <w:b/>
          <w:imprint/>
          <w:color w:val="FFC000"/>
          <w:sz w:val="72"/>
          <w:szCs w:val="72"/>
        </w:rPr>
        <w:t>O</w:t>
      </w:r>
      <w:r w:rsidRPr="00313835">
        <w:rPr>
          <w:b/>
          <w:imprint/>
          <w:color w:val="984806" w:themeColor="accent6" w:themeShade="80"/>
          <w:sz w:val="72"/>
          <w:szCs w:val="72"/>
        </w:rPr>
        <w:t>L</w:t>
      </w:r>
      <w:r w:rsidRPr="00313835">
        <w:rPr>
          <w:b/>
          <w:imprint/>
          <w:color w:val="DDD9C3" w:themeColor="background2" w:themeShade="E6"/>
          <w:sz w:val="72"/>
          <w:szCs w:val="72"/>
        </w:rPr>
        <w:t>I</w:t>
      </w:r>
      <w:r w:rsidRPr="00313835">
        <w:rPr>
          <w:b/>
          <w:imprint/>
          <w:color w:val="76923C" w:themeColor="accent3" w:themeShade="BF"/>
          <w:sz w:val="72"/>
          <w:szCs w:val="72"/>
        </w:rPr>
        <w:t>T</w:t>
      </w:r>
      <w:r w:rsidRPr="00313835">
        <w:rPr>
          <w:b/>
          <w:imprint/>
          <w:color w:val="FDA1BD"/>
          <w:sz w:val="72"/>
          <w:szCs w:val="72"/>
        </w:rPr>
        <w:t>I</w:t>
      </w:r>
      <w:r w:rsidRPr="00313835">
        <w:rPr>
          <w:b/>
          <w:imprint/>
          <w:color w:val="FFFF00"/>
          <w:sz w:val="72"/>
          <w:szCs w:val="72"/>
        </w:rPr>
        <w:t>C</w:t>
      </w:r>
      <w:r w:rsidRPr="00313835">
        <w:rPr>
          <w:b/>
          <w:imprint/>
          <w:color w:val="F2F2F2" w:themeColor="background1" w:themeShade="F2"/>
          <w:sz w:val="72"/>
          <w:szCs w:val="72"/>
        </w:rPr>
        <w:t>A</w:t>
      </w:r>
      <w:r w:rsidRPr="00313835">
        <w:rPr>
          <w:b/>
          <w:imprint/>
          <w:color w:val="76923C" w:themeColor="accent3" w:themeShade="BF"/>
          <w:sz w:val="72"/>
          <w:szCs w:val="72"/>
        </w:rPr>
        <w:t xml:space="preserve"> </w:t>
      </w:r>
      <w:r w:rsidR="00D02A64">
        <w:rPr>
          <w:b/>
          <w:imprint/>
          <w:color w:val="76923C" w:themeColor="accent3" w:themeShade="BF"/>
          <w:sz w:val="72"/>
          <w:szCs w:val="72"/>
        </w:rPr>
        <w:t xml:space="preserve">ambientale </w:t>
      </w:r>
      <w:proofErr w:type="spellStart"/>
      <w:r w:rsidRPr="00313835">
        <w:rPr>
          <w:b/>
          <w:imprint/>
          <w:color w:val="92CDDC" w:themeColor="accent5" w:themeTint="99"/>
          <w:sz w:val="72"/>
          <w:szCs w:val="72"/>
        </w:rPr>
        <w:t>D</w:t>
      </w:r>
      <w:r w:rsidRPr="00313835">
        <w:rPr>
          <w:b/>
          <w:imprint/>
          <w:color w:val="595959" w:themeColor="text1" w:themeTint="A6"/>
          <w:sz w:val="72"/>
          <w:szCs w:val="72"/>
        </w:rPr>
        <w:t>I</w:t>
      </w:r>
      <w:proofErr w:type="spellEnd"/>
      <w:r w:rsidRPr="00313835">
        <w:rPr>
          <w:b/>
          <w:imprint/>
          <w:color w:val="76923C" w:themeColor="accent3" w:themeShade="BF"/>
          <w:sz w:val="72"/>
          <w:szCs w:val="72"/>
        </w:rPr>
        <w:t xml:space="preserve"> </w:t>
      </w:r>
      <w:r w:rsidRPr="00313835">
        <w:rPr>
          <w:b/>
          <w:imprint/>
          <w:color w:val="FBD4B4" w:themeColor="accent6" w:themeTint="66"/>
          <w:sz w:val="72"/>
          <w:szCs w:val="72"/>
        </w:rPr>
        <w:t>G</w:t>
      </w:r>
      <w:r w:rsidRPr="00313835">
        <w:rPr>
          <w:b/>
          <w:imprint/>
          <w:color w:val="CCC0D9" w:themeColor="accent4" w:themeTint="66"/>
          <w:sz w:val="72"/>
          <w:szCs w:val="72"/>
        </w:rPr>
        <w:t>R</w:t>
      </w:r>
      <w:r w:rsidRPr="00313835">
        <w:rPr>
          <w:b/>
          <w:imprint/>
          <w:color w:val="92D050"/>
          <w:sz w:val="72"/>
          <w:szCs w:val="72"/>
        </w:rPr>
        <w:t>O</w:t>
      </w:r>
      <w:r w:rsidRPr="00313835">
        <w:rPr>
          <w:b/>
          <w:imprint/>
          <w:color w:val="C7B907"/>
          <w:sz w:val="72"/>
          <w:szCs w:val="72"/>
        </w:rPr>
        <w:t>M</w:t>
      </w:r>
      <w:r w:rsidRPr="00313835">
        <w:rPr>
          <w:b/>
          <w:imprint/>
          <w:color w:val="FF0000"/>
          <w:sz w:val="72"/>
          <w:szCs w:val="72"/>
        </w:rPr>
        <w:t>M</w:t>
      </w:r>
    </w:p>
    <w:p w:rsidR="00D02A64" w:rsidRPr="00D02A64" w:rsidRDefault="00D02A64" w:rsidP="00313835">
      <w:pPr>
        <w:rPr>
          <w:b/>
          <w:imprint/>
          <w:color w:val="76923C" w:themeColor="accent3" w:themeShade="BF"/>
          <w:sz w:val="20"/>
          <w:szCs w:val="20"/>
        </w:rPr>
      </w:pPr>
    </w:p>
    <w:p w:rsidR="00313835" w:rsidRPr="00D02A64" w:rsidRDefault="008954E0" w:rsidP="00D02A64">
      <w:pPr>
        <w:pStyle w:val="Paragrafoelenco"/>
        <w:numPr>
          <w:ilvl w:val="0"/>
          <w:numId w:val="3"/>
        </w:numPr>
        <w:rPr>
          <w:b/>
          <w:sz w:val="44"/>
          <w:szCs w:val="44"/>
        </w:rPr>
      </w:pPr>
      <w:r w:rsidRPr="00D02A64">
        <w:rPr>
          <w:b/>
          <w:sz w:val="44"/>
          <w:szCs w:val="44"/>
        </w:rPr>
        <w:t>Prodotti di stagione, spesso p</w:t>
      </w:r>
      <w:r w:rsidR="00E22E2D">
        <w:rPr>
          <w:b/>
          <w:sz w:val="44"/>
          <w:szCs w:val="44"/>
        </w:rPr>
        <w:t xml:space="preserve">rovenienti da presidi slow </w:t>
      </w:r>
      <w:proofErr w:type="spellStart"/>
      <w:r w:rsidR="00E22E2D">
        <w:rPr>
          <w:b/>
          <w:sz w:val="44"/>
          <w:szCs w:val="44"/>
        </w:rPr>
        <w:t>food</w:t>
      </w:r>
      <w:proofErr w:type="spellEnd"/>
      <w:r w:rsidR="00E22E2D">
        <w:rPr>
          <w:b/>
          <w:sz w:val="44"/>
          <w:szCs w:val="44"/>
        </w:rPr>
        <w:t xml:space="preserve"> o a</w:t>
      </w:r>
      <w:r w:rsidRPr="00D02A64">
        <w:rPr>
          <w:b/>
          <w:sz w:val="44"/>
          <w:szCs w:val="44"/>
        </w:rPr>
        <w:t xml:space="preserve"> </w:t>
      </w:r>
      <w:r w:rsidR="00E22E2D">
        <w:rPr>
          <w:b/>
          <w:sz w:val="44"/>
          <w:szCs w:val="44"/>
        </w:rPr>
        <w:t xml:space="preserve">Km 0, </w:t>
      </w:r>
      <w:r w:rsidRPr="00D02A64">
        <w:rPr>
          <w:b/>
          <w:sz w:val="44"/>
          <w:szCs w:val="44"/>
        </w:rPr>
        <w:t>utilizzo di addensanti naturali, co</w:t>
      </w:r>
      <w:r w:rsidR="00D02A64" w:rsidRPr="00D02A64">
        <w:rPr>
          <w:b/>
          <w:sz w:val="44"/>
          <w:szCs w:val="44"/>
        </w:rPr>
        <w:t>me la farina di semi di carrube.</w:t>
      </w:r>
      <w:r w:rsidRPr="00D02A64">
        <w:rPr>
          <w:b/>
          <w:sz w:val="44"/>
          <w:szCs w:val="44"/>
        </w:rPr>
        <w:t xml:space="preserve"> </w:t>
      </w:r>
      <w:r w:rsidR="00E22E2D" w:rsidRPr="00E22E2D">
        <w:rPr>
          <w:b/>
          <w:sz w:val="44"/>
          <w:szCs w:val="44"/>
        </w:rPr>
        <w:t xml:space="preserve">Non </w:t>
      </w:r>
      <w:r w:rsidR="00E22E2D">
        <w:rPr>
          <w:b/>
          <w:sz w:val="44"/>
          <w:szCs w:val="44"/>
        </w:rPr>
        <w:t xml:space="preserve">vengono utilizzati </w:t>
      </w:r>
      <w:r w:rsidR="00E22E2D" w:rsidRPr="00E22E2D">
        <w:rPr>
          <w:b/>
          <w:sz w:val="44"/>
          <w:szCs w:val="44"/>
        </w:rPr>
        <w:t>aromi o coloranti, e non lo fanno i fornitori. Il gelato trae il gusto e suo colore solo dalle materie prime impiegate, secondo la stagionalità e disponibilità.</w:t>
      </w:r>
    </w:p>
    <w:p w:rsidR="00D02A64" w:rsidRPr="00D02A64" w:rsidRDefault="008954E0" w:rsidP="00D02A64">
      <w:pPr>
        <w:pStyle w:val="Paragrafoelenco"/>
        <w:numPr>
          <w:ilvl w:val="0"/>
          <w:numId w:val="3"/>
        </w:numPr>
        <w:rPr>
          <w:b/>
          <w:sz w:val="44"/>
          <w:szCs w:val="44"/>
        </w:rPr>
      </w:pPr>
      <w:r w:rsidRPr="00D02A64">
        <w:rPr>
          <w:b/>
          <w:sz w:val="44"/>
          <w:szCs w:val="44"/>
        </w:rPr>
        <w:t>20 ettari di terreno dove viene coltivata la frutta, rigorosamente bio, da utilizzare per la preparazione dei gelati,</w:t>
      </w:r>
      <w:r w:rsidR="00D02A64" w:rsidRPr="00D02A64">
        <w:rPr>
          <w:b/>
          <w:sz w:val="44"/>
          <w:szCs w:val="44"/>
        </w:rPr>
        <w:t xml:space="preserve"> totale rispetto per la natura e le sue regole, con metodo biologico, senza l’utilizzo di prodotti nocivi per la nostra salute. </w:t>
      </w:r>
    </w:p>
    <w:p w:rsidR="00D02A64" w:rsidRPr="00D02A64" w:rsidRDefault="00D02A64" w:rsidP="00D02A64">
      <w:pPr>
        <w:pStyle w:val="Paragrafoelenco"/>
        <w:numPr>
          <w:ilvl w:val="0"/>
          <w:numId w:val="3"/>
        </w:numPr>
        <w:rPr>
          <w:b/>
          <w:sz w:val="44"/>
          <w:szCs w:val="44"/>
        </w:rPr>
      </w:pPr>
      <w:r w:rsidRPr="00D02A64">
        <w:rPr>
          <w:b/>
          <w:sz w:val="44"/>
          <w:szCs w:val="44"/>
        </w:rPr>
        <w:t>Cura particolare per la sostenibilità economica e ambientale:</w:t>
      </w:r>
    </w:p>
    <w:p w:rsidR="00D02A64" w:rsidRPr="00D02A64" w:rsidRDefault="00D02A64" w:rsidP="00D02A64">
      <w:pPr>
        <w:pStyle w:val="Paragrafoelenco"/>
        <w:numPr>
          <w:ilvl w:val="0"/>
          <w:numId w:val="2"/>
        </w:numPr>
        <w:rPr>
          <w:b/>
          <w:sz w:val="44"/>
          <w:szCs w:val="44"/>
        </w:rPr>
      </w:pPr>
      <w:r w:rsidRPr="00D02A64">
        <w:rPr>
          <w:b/>
          <w:sz w:val="44"/>
          <w:szCs w:val="44"/>
        </w:rPr>
        <w:t xml:space="preserve">controlli nei consumi dell’acqua di irrigazione attraverso impianti goccia a goccia e recupero delle acqua di pioggia. </w:t>
      </w:r>
    </w:p>
    <w:p w:rsidR="008954E0" w:rsidRPr="00D02A64" w:rsidRDefault="00D02A64" w:rsidP="00D02A64">
      <w:pPr>
        <w:pStyle w:val="Paragrafoelenco"/>
        <w:numPr>
          <w:ilvl w:val="0"/>
          <w:numId w:val="2"/>
        </w:numPr>
        <w:rPr>
          <w:b/>
          <w:sz w:val="44"/>
          <w:szCs w:val="44"/>
        </w:rPr>
      </w:pPr>
      <w:r w:rsidRPr="00D02A64">
        <w:rPr>
          <w:b/>
          <w:sz w:val="44"/>
          <w:szCs w:val="44"/>
        </w:rPr>
        <w:lastRenderedPageBreak/>
        <w:t>c</w:t>
      </w:r>
      <w:r w:rsidR="008954E0" w:rsidRPr="00D02A64">
        <w:rPr>
          <w:b/>
          <w:sz w:val="44"/>
          <w:szCs w:val="44"/>
        </w:rPr>
        <w:t>ontrollo su l</w:t>
      </w:r>
      <w:r w:rsidRPr="00D02A64">
        <w:rPr>
          <w:b/>
          <w:sz w:val="44"/>
          <w:szCs w:val="44"/>
        </w:rPr>
        <w:t>arga parte del ciclo produttivo</w:t>
      </w:r>
    </w:p>
    <w:p w:rsidR="00D02A64" w:rsidRPr="00D02A64" w:rsidRDefault="008954E0" w:rsidP="00D02A64">
      <w:pPr>
        <w:pStyle w:val="Paragrafoelenco"/>
        <w:numPr>
          <w:ilvl w:val="0"/>
          <w:numId w:val="2"/>
        </w:numPr>
        <w:rPr>
          <w:b/>
          <w:sz w:val="44"/>
          <w:szCs w:val="44"/>
        </w:rPr>
      </w:pPr>
      <w:r w:rsidRPr="00D02A64">
        <w:rPr>
          <w:b/>
          <w:sz w:val="44"/>
          <w:szCs w:val="44"/>
        </w:rPr>
        <w:t xml:space="preserve">plastica sostituita dal Mater-Bi, una </w:t>
      </w:r>
      <w:proofErr w:type="spellStart"/>
      <w:r w:rsidRPr="00D02A64">
        <w:rPr>
          <w:b/>
          <w:sz w:val="44"/>
          <w:szCs w:val="44"/>
        </w:rPr>
        <w:t>bioplastica</w:t>
      </w:r>
      <w:proofErr w:type="spellEnd"/>
      <w:r w:rsidRPr="00D02A64">
        <w:rPr>
          <w:b/>
          <w:sz w:val="44"/>
          <w:szCs w:val="44"/>
        </w:rPr>
        <w:t xml:space="preserve"> biodegradabile e compostabile realizzata con fonti rinnovabili di origine agricola, co</w:t>
      </w:r>
      <w:r w:rsidR="00D02A64" w:rsidRPr="00D02A64">
        <w:rPr>
          <w:b/>
          <w:sz w:val="44"/>
          <w:szCs w:val="44"/>
        </w:rPr>
        <w:t>me amido di masi e oli vegetali</w:t>
      </w:r>
    </w:p>
    <w:p w:rsidR="004755D0" w:rsidRPr="00D02A64" w:rsidRDefault="008954E0" w:rsidP="00D02A64">
      <w:pPr>
        <w:pStyle w:val="Paragrafoelenco"/>
        <w:numPr>
          <w:ilvl w:val="0"/>
          <w:numId w:val="2"/>
        </w:numPr>
        <w:rPr>
          <w:b/>
          <w:sz w:val="44"/>
          <w:szCs w:val="44"/>
        </w:rPr>
      </w:pPr>
      <w:r w:rsidRPr="00D02A64">
        <w:rPr>
          <w:b/>
          <w:sz w:val="44"/>
          <w:szCs w:val="44"/>
        </w:rPr>
        <w:t>la</w:t>
      </w:r>
      <w:r w:rsidR="00D02A64" w:rsidRPr="00D02A64">
        <w:rPr>
          <w:b/>
          <w:sz w:val="44"/>
          <w:szCs w:val="44"/>
        </w:rPr>
        <w:t xml:space="preserve"> carta viene certificata dal più</w:t>
      </w:r>
      <w:r w:rsidRPr="00D02A64">
        <w:rPr>
          <w:b/>
          <w:sz w:val="44"/>
          <w:szCs w:val="44"/>
        </w:rPr>
        <w:t xml:space="preserve"> importante ente internazionale per la gestione responsabile delle foreste e </w:t>
      </w:r>
      <w:r w:rsidR="00D02A64" w:rsidRPr="00D02A64">
        <w:rPr>
          <w:b/>
          <w:sz w:val="44"/>
          <w:szCs w:val="44"/>
        </w:rPr>
        <w:t>sinergia con le popolazioni che vi vivono, per non sfruttare i loro territori e le loro vite.</w:t>
      </w:r>
    </w:p>
    <w:p w:rsidR="00D02A64" w:rsidRPr="00D02A64" w:rsidRDefault="00D02A64" w:rsidP="00D02A64">
      <w:pPr>
        <w:pStyle w:val="Paragrafoelenco"/>
        <w:numPr>
          <w:ilvl w:val="0"/>
          <w:numId w:val="4"/>
        </w:numPr>
        <w:rPr>
          <w:b/>
          <w:sz w:val="44"/>
          <w:szCs w:val="44"/>
        </w:rPr>
      </w:pPr>
      <w:r w:rsidRPr="00D02A64">
        <w:rPr>
          <w:b/>
          <w:sz w:val="44"/>
          <w:szCs w:val="44"/>
        </w:rPr>
        <w:t>Sostenibilità sociale e etica  nella cura dei rapporti con i lavoratori, i clienti e i fornitori.</w:t>
      </w:r>
    </w:p>
    <w:sectPr w:rsidR="00D02A64" w:rsidRPr="00D02A64" w:rsidSect="00DD0A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4291C"/>
    <w:multiLevelType w:val="hybridMultilevel"/>
    <w:tmpl w:val="BBBA6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71319D"/>
    <w:multiLevelType w:val="hybridMultilevel"/>
    <w:tmpl w:val="22FCA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FD0396"/>
    <w:multiLevelType w:val="hybridMultilevel"/>
    <w:tmpl w:val="A3DCB2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A2C49"/>
    <w:multiLevelType w:val="hybridMultilevel"/>
    <w:tmpl w:val="2E5250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13835"/>
    <w:rsid w:val="00313835"/>
    <w:rsid w:val="004755D0"/>
    <w:rsid w:val="008954E0"/>
    <w:rsid w:val="00C46874"/>
    <w:rsid w:val="00D02A64"/>
    <w:rsid w:val="00DD0ACD"/>
    <w:rsid w:val="00E22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38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38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2</cp:revision>
  <cp:lastPrinted>2018-01-15T19:38:00Z</cp:lastPrinted>
  <dcterms:created xsi:type="dcterms:W3CDTF">2018-01-15T18:54:00Z</dcterms:created>
  <dcterms:modified xsi:type="dcterms:W3CDTF">2018-01-15T19:38:00Z</dcterms:modified>
</cp:coreProperties>
</file>